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74" w:rsidRDefault="00C15E40" w:rsidP="00F957B8">
      <w:pPr>
        <w:ind w:left="-1440" w:firstLine="1440"/>
      </w:pPr>
      <w:r>
        <w:rPr>
          <w:noProof/>
          <w:lang w:eastAsia="en-GB"/>
        </w:rPr>
        <mc:AlternateContent>
          <mc:Choice Requires="wps">
            <w:drawing>
              <wp:anchor distT="0" distB="0" distL="114300" distR="114300" simplePos="0" relativeHeight="251659264" behindDoc="0" locked="0" layoutInCell="1" allowOverlap="1" wp14:anchorId="62DE3A34" wp14:editId="026BBB4E">
                <wp:simplePos x="0" y="0"/>
                <wp:positionH relativeFrom="column">
                  <wp:posOffset>103518</wp:posOffset>
                </wp:positionH>
                <wp:positionV relativeFrom="paragraph">
                  <wp:posOffset>4735902</wp:posOffset>
                </wp:positionV>
                <wp:extent cx="7323826" cy="4639945"/>
                <wp:effectExtent l="0" t="0" r="0" b="8255"/>
                <wp:wrapSquare wrapText="bothSides"/>
                <wp:docPr id="2" name="Text Box 2"/>
                <wp:cNvGraphicFramePr/>
                <a:graphic xmlns:a="http://schemas.openxmlformats.org/drawingml/2006/main">
                  <a:graphicData uri="http://schemas.microsoft.com/office/word/2010/wordprocessingShape">
                    <wps:wsp>
                      <wps:cNvSpPr txBox="1"/>
                      <wps:spPr>
                        <a:xfrm>
                          <a:off x="0" y="0"/>
                          <a:ext cx="7323826" cy="4639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12416" w:rsidRDefault="00B12416" w:rsidP="00B12416">
                            <w:pPr>
                              <w:rPr>
                                <w:b/>
                                <w:sz w:val="28"/>
                              </w:rPr>
                            </w:pPr>
                            <w:r w:rsidRPr="00C15E40">
                              <w:rPr>
                                <w:b/>
                                <w:sz w:val="28"/>
                              </w:rPr>
                              <w:t>What is Talking Partners?</w:t>
                            </w:r>
                          </w:p>
                          <w:p w:rsidR="00B12416" w:rsidRPr="00C15E40" w:rsidRDefault="00B12416" w:rsidP="00B12416">
                            <w:pPr>
                              <w:rPr>
                                <w:sz w:val="28"/>
                              </w:rPr>
                            </w:pPr>
                            <w:r w:rsidRPr="00C15E40">
                              <w:rPr>
                                <w:sz w:val="28"/>
                              </w:rPr>
                              <w:t>Talking Partners is a structured oral language programme which raises levels of achievement by improving learner’s listening and speaking skills. It is an evidence based targeted, time limited (10 weeks) intervention that can be used with learners in KS3 and KS4.</w:t>
                            </w:r>
                          </w:p>
                          <w:p w:rsidR="00B12416" w:rsidRPr="00C15E40" w:rsidRDefault="00B12416" w:rsidP="00B12416">
                            <w:pPr>
                              <w:rPr>
                                <w:b/>
                                <w:sz w:val="28"/>
                              </w:rPr>
                            </w:pPr>
                          </w:p>
                          <w:p w:rsidR="00B12416" w:rsidRDefault="00B12416" w:rsidP="00B12416">
                            <w:pPr>
                              <w:rPr>
                                <w:b/>
                                <w:sz w:val="28"/>
                              </w:rPr>
                            </w:pPr>
                            <w:r w:rsidRPr="00C15E40">
                              <w:rPr>
                                <w:b/>
                                <w:sz w:val="28"/>
                              </w:rPr>
                              <w:t>Who is Talking Partners for?</w:t>
                            </w:r>
                          </w:p>
                          <w:p w:rsidR="00B12416" w:rsidRPr="00C15E40" w:rsidRDefault="00B12416" w:rsidP="00B12416">
                            <w:pPr>
                              <w:rPr>
                                <w:sz w:val="28"/>
                              </w:rPr>
                            </w:pPr>
                            <w:r w:rsidRPr="00C15E40">
                              <w:rPr>
                                <w:sz w:val="28"/>
                              </w:rPr>
                              <w:t>Talking Partners is for pupils who are:</w:t>
                            </w:r>
                          </w:p>
                          <w:p w:rsidR="00B12416" w:rsidRPr="00C15E40" w:rsidRDefault="00B12416" w:rsidP="00B12416">
                            <w:pPr>
                              <w:pStyle w:val="ListParagraph"/>
                              <w:numPr>
                                <w:ilvl w:val="0"/>
                                <w:numId w:val="6"/>
                              </w:numPr>
                              <w:spacing w:after="0" w:line="240" w:lineRule="auto"/>
                              <w:rPr>
                                <w:sz w:val="28"/>
                              </w:rPr>
                            </w:pPr>
                            <w:r w:rsidRPr="00C15E40">
                              <w:rPr>
                                <w:sz w:val="28"/>
                              </w:rPr>
                              <w:t>Lacking in skills and confidence as speakers and listeners</w:t>
                            </w:r>
                            <w:r w:rsidRPr="00C15E40">
                              <w:rPr>
                                <w:sz w:val="28"/>
                              </w:rPr>
                              <w:tab/>
                            </w:r>
                            <w:r w:rsidRPr="00C15E40">
                              <w:rPr>
                                <w:sz w:val="28"/>
                              </w:rPr>
                              <w:tab/>
                            </w:r>
                          </w:p>
                          <w:p w:rsidR="00B12416" w:rsidRPr="00C15E40" w:rsidRDefault="00B12416" w:rsidP="00B12416">
                            <w:pPr>
                              <w:pStyle w:val="ListParagraph"/>
                              <w:numPr>
                                <w:ilvl w:val="0"/>
                                <w:numId w:val="6"/>
                              </w:numPr>
                              <w:spacing w:after="0" w:line="240" w:lineRule="auto"/>
                              <w:rPr>
                                <w:sz w:val="28"/>
                              </w:rPr>
                            </w:pPr>
                            <w:r w:rsidRPr="00C15E40">
                              <w:rPr>
                                <w:sz w:val="28"/>
                              </w:rPr>
                              <w:t>EAL learners</w:t>
                            </w:r>
                          </w:p>
                          <w:p w:rsidR="00B12416" w:rsidRPr="00C15E40" w:rsidRDefault="00B12416" w:rsidP="00B12416">
                            <w:pPr>
                              <w:pStyle w:val="ListParagraph"/>
                              <w:numPr>
                                <w:ilvl w:val="0"/>
                                <w:numId w:val="6"/>
                              </w:numPr>
                              <w:spacing w:after="200" w:line="276" w:lineRule="auto"/>
                              <w:rPr>
                                <w:sz w:val="28"/>
                              </w:rPr>
                            </w:pPr>
                            <w:r w:rsidRPr="00C15E40">
                              <w:rPr>
                                <w:sz w:val="28"/>
                              </w:rPr>
                              <w:t>SEN</w:t>
                            </w:r>
                          </w:p>
                          <w:p w:rsidR="00B12416" w:rsidRPr="00C15E40" w:rsidRDefault="00B12416" w:rsidP="00B12416">
                            <w:pPr>
                              <w:pStyle w:val="ListParagraph"/>
                              <w:numPr>
                                <w:ilvl w:val="0"/>
                                <w:numId w:val="6"/>
                              </w:numPr>
                              <w:spacing w:after="200" w:line="276" w:lineRule="auto"/>
                              <w:rPr>
                                <w:sz w:val="28"/>
                              </w:rPr>
                            </w:pPr>
                            <w:r w:rsidRPr="00C15E40">
                              <w:rPr>
                                <w:sz w:val="28"/>
                              </w:rPr>
                              <w:t>SEMH</w:t>
                            </w:r>
                          </w:p>
                          <w:p w:rsidR="00B12416" w:rsidRPr="00C15E40" w:rsidRDefault="00B12416" w:rsidP="00B12416">
                            <w:pPr>
                              <w:pStyle w:val="ListParagraph"/>
                              <w:ind w:left="0"/>
                              <w:rPr>
                                <w:b/>
                                <w:sz w:val="24"/>
                              </w:rPr>
                            </w:pPr>
                          </w:p>
                          <w:p w:rsidR="00B12416" w:rsidRPr="00C15E40" w:rsidRDefault="00B12416" w:rsidP="00B12416">
                            <w:pPr>
                              <w:pStyle w:val="ListParagraph"/>
                              <w:ind w:left="0"/>
                              <w:rPr>
                                <w:b/>
                                <w:sz w:val="28"/>
                              </w:rPr>
                            </w:pPr>
                            <w:r w:rsidRPr="00C15E40">
                              <w:rPr>
                                <w:b/>
                                <w:sz w:val="28"/>
                              </w:rPr>
                              <w:t>Who delivers Talking Partners?</w:t>
                            </w:r>
                          </w:p>
                          <w:p w:rsidR="00C15E40" w:rsidRPr="00EB08B8" w:rsidRDefault="00B12416" w:rsidP="00B71417">
                            <w:pPr>
                              <w:pStyle w:val="ListParagraph"/>
                              <w:ind w:left="0"/>
                              <w:rPr>
                                <w:rFonts w:ascii="Verdana" w:eastAsia="Times New Roman" w:hAnsi="Verdana" w:cs="Times New Roman"/>
                                <w:bCs/>
                                <w:color w:val="000000" w:themeColor="text1"/>
                                <w:szCs w:val="17"/>
                              </w:rPr>
                            </w:pPr>
                            <w:r w:rsidRPr="00C15E40">
                              <w:rPr>
                                <w:sz w:val="28"/>
                                <w:szCs w:val="24"/>
                                <w:shd w:val="clear" w:color="auto" w:fill="FFFFFF"/>
                              </w:rPr>
                              <w:t>Experienced TAs and HLTAs after receiving 2-days of intensive training to become trained partners. A SENCO (also expected to attend the training), is appointed as the school coordinator and monitors the intervention. Partners receive a training pack, which contains full descriptions of activities, frameworks for teaching and assessment materials to support delivery and measure impact</w:t>
                            </w:r>
                            <w:r w:rsidRPr="00C15E40">
                              <w:rPr>
                                <w:sz w:val="24"/>
                                <w:szCs w:val="24"/>
                                <w:shd w:val="clear" w:color="auto" w:fill="FFFFFF"/>
                              </w:rPr>
                              <w:t>.</w:t>
                            </w:r>
                            <w:r w:rsidRPr="00EA77FC">
                              <w:rPr>
                                <w:rFonts w:eastAsia="Times New Roman"/>
                                <w:b/>
                                <w:bCs/>
                                <w:szCs w:val="28"/>
                                <w:lang w:eastAsia="en-GB"/>
                              </w:rPr>
                              <w:t xml:space="preserve"> </w:t>
                            </w:r>
                          </w:p>
                          <w:p w:rsidR="00C15E40" w:rsidRPr="00EA77FC" w:rsidRDefault="00C15E40" w:rsidP="00C15E40">
                            <w:pPr>
                              <w:pStyle w:val="ListParagraph"/>
                              <w:ind w:left="0"/>
                              <w:rPr>
                                <w:rFonts w:eastAsia="Times New Roman"/>
                                <w:b/>
                                <w:bCs/>
                                <w:szCs w:val="28"/>
                                <w:lang w:eastAsia="en-GB"/>
                              </w:rPr>
                            </w:pPr>
                          </w:p>
                          <w:p w:rsidR="00C022B7" w:rsidRPr="00132C79" w:rsidRDefault="00C022B7" w:rsidP="00C022B7">
                            <w:pPr>
                              <w:jc w:val="center"/>
                              <w:rPr>
                                <w:rFonts w:ascii="Arial" w:hAnsi="Arial" w:cs="Arial"/>
                              </w:rPr>
                            </w:pPr>
                          </w:p>
                          <w:p w:rsidR="00C022B7" w:rsidRPr="00132C79" w:rsidRDefault="00C022B7" w:rsidP="00C022B7">
                            <w:pPr>
                              <w:jc w:val="center"/>
                              <w:rPr>
                                <w:rFonts w:ascii="Arial" w:hAnsi="Arial" w:cs="Arial"/>
                                <w:sz w:val="28"/>
                              </w:rPr>
                            </w:pPr>
                          </w:p>
                          <w:p w:rsidR="00F957B8" w:rsidRDefault="00F957B8"/>
                          <w:p w:rsidR="00E66C9E" w:rsidRDefault="00E66C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5pt;margin-top:372.9pt;width:576.7pt;height:3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" filled="f" stroked="f">
                <v:textbox>
                  <w:txbxContent>
                    <w:p w:rsidR="00B12416" w:rsidRDefault="00B12416" w:rsidP="00B12416">
                      <w:pPr>
                        <w:rPr>
                          <w:b/>
                          <w:sz w:val="28"/>
                        </w:rPr>
                      </w:pPr>
                      <w:r w:rsidRPr="00C15E40">
                        <w:rPr>
                          <w:b/>
                          <w:sz w:val="28"/>
                        </w:rPr>
                        <w:t>What is Talking Partners?</w:t>
                      </w:r>
                    </w:p>
                    <w:p w:rsidR="00B12416" w:rsidRPr="00C15E40" w:rsidRDefault="00B12416" w:rsidP="00B12416">
                      <w:pPr>
                        <w:rPr>
                          <w:sz w:val="28"/>
                        </w:rPr>
                      </w:pPr>
                      <w:r w:rsidRPr="00C15E40">
                        <w:rPr>
                          <w:sz w:val="28"/>
                        </w:rPr>
                        <w:t>Talking Partners is a structured oral language programme which raises levels of achievement by improving learner’s listening and speaking skills. It is an evidence based targeted, time limited (10 weeks) intervention that can be used with learners in KS3 and KS4.</w:t>
                      </w:r>
                    </w:p>
                    <w:p w:rsidR="00B12416" w:rsidRPr="00C15E40" w:rsidRDefault="00B12416" w:rsidP="00B12416">
                      <w:pPr>
                        <w:rPr>
                          <w:b/>
                          <w:sz w:val="28"/>
                        </w:rPr>
                      </w:pPr>
                    </w:p>
                    <w:p w:rsidR="00B12416" w:rsidRDefault="00B12416" w:rsidP="00B12416">
                      <w:pPr>
                        <w:rPr>
                          <w:b/>
                          <w:sz w:val="28"/>
                        </w:rPr>
                      </w:pPr>
                      <w:r w:rsidRPr="00C15E40">
                        <w:rPr>
                          <w:b/>
                          <w:sz w:val="28"/>
                        </w:rPr>
                        <w:t>Who is Talking Partners for?</w:t>
                      </w:r>
                    </w:p>
                    <w:p w:rsidR="00B12416" w:rsidRPr="00C15E40" w:rsidRDefault="00B12416" w:rsidP="00B12416">
                      <w:pPr>
                        <w:rPr>
                          <w:sz w:val="28"/>
                        </w:rPr>
                      </w:pPr>
                      <w:r w:rsidRPr="00C15E40">
                        <w:rPr>
                          <w:sz w:val="28"/>
                        </w:rPr>
                        <w:t>Talking Partners is for pupils who are:</w:t>
                      </w:r>
                    </w:p>
                    <w:p w:rsidR="00B12416" w:rsidRPr="00C15E40" w:rsidRDefault="00B12416" w:rsidP="00B12416">
                      <w:pPr>
                        <w:pStyle w:val="ListParagraph"/>
                        <w:numPr>
                          <w:ilvl w:val="0"/>
                          <w:numId w:val="6"/>
                        </w:numPr>
                        <w:spacing w:after="0" w:line="240" w:lineRule="auto"/>
                        <w:rPr>
                          <w:sz w:val="28"/>
                        </w:rPr>
                      </w:pPr>
                      <w:r w:rsidRPr="00C15E40">
                        <w:rPr>
                          <w:sz w:val="28"/>
                        </w:rPr>
                        <w:t>Lacking in skills and confidence as speakers and listeners</w:t>
                      </w:r>
                      <w:r w:rsidRPr="00C15E40">
                        <w:rPr>
                          <w:sz w:val="28"/>
                        </w:rPr>
                        <w:tab/>
                      </w:r>
                      <w:r w:rsidRPr="00C15E40">
                        <w:rPr>
                          <w:sz w:val="28"/>
                        </w:rPr>
                        <w:tab/>
                      </w:r>
                    </w:p>
                    <w:p w:rsidR="00B12416" w:rsidRPr="00C15E40" w:rsidRDefault="00B12416" w:rsidP="00B12416">
                      <w:pPr>
                        <w:pStyle w:val="ListParagraph"/>
                        <w:numPr>
                          <w:ilvl w:val="0"/>
                          <w:numId w:val="6"/>
                        </w:numPr>
                        <w:spacing w:after="0" w:line="240" w:lineRule="auto"/>
                        <w:rPr>
                          <w:sz w:val="28"/>
                        </w:rPr>
                      </w:pPr>
                      <w:r w:rsidRPr="00C15E40">
                        <w:rPr>
                          <w:sz w:val="28"/>
                        </w:rPr>
                        <w:t>EAL learners</w:t>
                      </w:r>
                    </w:p>
                    <w:p w:rsidR="00B12416" w:rsidRPr="00C15E40" w:rsidRDefault="00B12416" w:rsidP="00B12416">
                      <w:pPr>
                        <w:pStyle w:val="ListParagraph"/>
                        <w:numPr>
                          <w:ilvl w:val="0"/>
                          <w:numId w:val="6"/>
                        </w:numPr>
                        <w:spacing w:after="200" w:line="276" w:lineRule="auto"/>
                        <w:rPr>
                          <w:sz w:val="28"/>
                        </w:rPr>
                      </w:pPr>
                      <w:r w:rsidRPr="00C15E40">
                        <w:rPr>
                          <w:sz w:val="28"/>
                        </w:rPr>
                        <w:t>SEN</w:t>
                      </w:r>
                    </w:p>
                    <w:p w:rsidR="00B12416" w:rsidRPr="00C15E40" w:rsidRDefault="00B12416" w:rsidP="00B12416">
                      <w:pPr>
                        <w:pStyle w:val="ListParagraph"/>
                        <w:numPr>
                          <w:ilvl w:val="0"/>
                          <w:numId w:val="6"/>
                        </w:numPr>
                        <w:spacing w:after="200" w:line="276" w:lineRule="auto"/>
                        <w:rPr>
                          <w:sz w:val="28"/>
                        </w:rPr>
                      </w:pPr>
                      <w:r w:rsidRPr="00C15E40">
                        <w:rPr>
                          <w:sz w:val="28"/>
                        </w:rPr>
                        <w:t>SEMH</w:t>
                      </w:r>
                    </w:p>
                    <w:p w:rsidR="00B12416" w:rsidRPr="00C15E40" w:rsidRDefault="00B12416" w:rsidP="00B12416">
                      <w:pPr>
                        <w:pStyle w:val="ListParagraph"/>
                        <w:ind w:left="0"/>
                        <w:rPr>
                          <w:b/>
                          <w:sz w:val="24"/>
                        </w:rPr>
                      </w:pPr>
                    </w:p>
                    <w:p w:rsidR="00B12416" w:rsidRPr="00C15E40" w:rsidRDefault="00B12416" w:rsidP="00B12416">
                      <w:pPr>
                        <w:pStyle w:val="ListParagraph"/>
                        <w:ind w:left="0"/>
                        <w:rPr>
                          <w:b/>
                          <w:sz w:val="28"/>
                        </w:rPr>
                      </w:pPr>
                      <w:r w:rsidRPr="00C15E40">
                        <w:rPr>
                          <w:b/>
                          <w:sz w:val="28"/>
                        </w:rPr>
                        <w:t>Who delivers Talking Partners?</w:t>
                      </w:r>
                    </w:p>
                    <w:p w:rsidR="00C15E40" w:rsidRPr="00EB08B8" w:rsidRDefault="00B12416" w:rsidP="00B71417">
                      <w:pPr>
                        <w:pStyle w:val="ListParagraph"/>
                        <w:ind w:left="0"/>
                        <w:rPr>
                          <w:rFonts w:ascii="Verdana" w:eastAsia="Times New Roman" w:hAnsi="Verdana" w:cs="Times New Roman"/>
                          <w:bCs/>
                          <w:color w:val="000000" w:themeColor="text1"/>
                          <w:szCs w:val="17"/>
                        </w:rPr>
                      </w:pPr>
                      <w:r w:rsidRPr="00C15E40">
                        <w:rPr>
                          <w:sz w:val="28"/>
                          <w:szCs w:val="24"/>
                          <w:shd w:val="clear" w:color="auto" w:fill="FFFFFF"/>
                        </w:rPr>
                        <w:t>Experienced TAs and HLTAs after receiving 2-days of intensive training to become trained partners. A SENCO (also expected to attend the training), is appointed as the school coordinator and monitors the intervention. Partners receive a training pack, which contains full descriptions of activities, frameworks for teaching and assessment materials to support delivery and measure impact</w:t>
                      </w:r>
                      <w:r w:rsidRPr="00C15E40">
                        <w:rPr>
                          <w:sz w:val="24"/>
                          <w:szCs w:val="24"/>
                          <w:shd w:val="clear" w:color="auto" w:fill="FFFFFF"/>
                        </w:rPr>
                        <w:t>.</w:t>
                      </w:r>
                      <w:r w:rsidRPr="00EA77FC">
                        <w:rPr>
                          <w:rFonts w:eastAsia="Times New Roman"/>
                          <w:b/>
                          <w:bCs/>
                          <w:szCs w:val="28"/>
                          <w:lang w:eastAsia="en-GB"/>
                        </w:rPr>
                        <w:t xml:space="preserve"> </w:t>
                      </w:r>
                    </w:p>
                    <w:p w:rsidR="00C15E40" w:rsidRPr="00EA77FC" w:rsidRDefault="00C15E40" w:rsidP="00C15E40">
                      <w:pPr>
                        <w:pStyle w:val="ListParagraph"/>
                        <w:ind w:left="0"/>
                        <w:rPr>
                          <w:rFonts w:eastAsia="Times New Roman"/>
                          <w:b/>
                          <w:bCs/>
                          <w:szCs w:val="28"/>
                          <w:lang w:eastAsia="en-GB"/>
                        </w:rPr>
                      </w:pPr>
                    </w:p>
                    <w:p w:rsidR="00C022B7" w:rsidRPr="00132C79" w:rsidRDefault="00C022B7" w:rsidP="00C022B7">
                      <w:pPr>
                        <w:jc w:val="center"/>
                        <w:rPr>
                          <w:rFonts w:ascii="Arial" w:hAnsi="Arial" w:cs="Arial"/>
                        </w:rPr>
                      </w:pPr>
                    </w:p>
                    <w:p w:rsidR="00C022B7" w:rsidRPr="00132C79" w:rsidRDefault="00C022B7" w:rsidP="00C022B7">
                      <w:pPr>
                        <w:jc w:val="center"/>
                        <w:rPr>
                          <w:rFonts w:ascii="Arial" w:hAnsi="Arial" w:cs="Arial"/>
                          <w:sz w:val="28"/>
                        </w:rPr>
                      </w:pPr>
                    </w:p>
                    <w:p w:rsidR="00F957B8" w:rsidRDefault="00F957B8"/>
                    <w:p w:rsidR="00E66C9E" w:rsidRDefault="00E66C9E"/>
                  </w:txbxContent>
                </v:textbox>
                <w10:wrap type="square"/>
              </v:shape>
            </w:pict>
          </mc:Fallback>
        </mc:AlternateContent>
      </w:r>
      <w:r w:rsidR="00C022B7">
        <w:rPr>
          <w:noProof/>
          <w:lang w:eastAsia="en-GB"/>
        </w:rPr>
        <mc:AlternateContent>
          <mc:Choice Requires="wps">
            <w:drawing>
              <wp:anchor distT="0" distB="0" distL="114300" distR="114300" simplePos="0" relativeHeight="251662336" behindDoc="0" locked="0" layoutInCell="1" allowOverlap="1" wp14:anchorId="6CB9C787" wp14:editId="2E2880B4">
                <wp:simplePos x="0" y="0"/>
                <wp:positionH relativeFrom="column">
                  <wp:posOffset>552091</wp:posOffset>
                </wp:positionH>
                <wp:positionV relativeFrom="paragraph">
                  <wp:posOffset>707366</wp:posOffset>
                </wp:positionV>
                <wp:extent cx="6598920" cy="2872596"/>
                <wp:effectExtent l="0" t="0" r="0" b="0"/>
                <wp:wrapNone/>
                <wp:docPr id="3" name="Text Box 3"/>
                <wp:cNvGraphicFramePr/>
                <a:graphic xmlns:a="http://schemas.openxmlformats.org/drawingml/2006/main">
                  <a:graphicData uri="http://schemas.microsoft.com/office/word/2010/wordprocessingShape">
                    <wps:wsp>
                      <wps:cNvSpPr txBox="1"/>
                      <wps:spPr>
                        <a:xfrm>
                          <a:off x="0" y="0"/>
                          <a:ext cx="6598920" cy="2872596"/>
                        </a:xfrm>
                        <a:prstGeom prst="rect">
                          <a:avLst/>
                        </a:prstGeom>
                      </wps:spPr>
                      <wps:style>
                        <a:lnRef idx="0">
                          <a:schemeClr val="accent1"/>
                        </a:lnRef>
                        <a:fillRef idx="0">
                          <a:schemeClr val="accent1"/>
                        </a:fillRef>
                        <a:effectRef idx="0">
                          <a:schemeClr val="accent1"/>
                        </a:effectRef>
                        <a:fontRef idx="minor">
                          <a:schemeClr val="dk1"/>
                        </a:fontRef>
                      </wps:style>
                      <wps:txbx>
                        <w:txbxContent>
                          <w:p w:rsidR="00C022B7" w:rsidRPr="00B12416" w:rsidRDefault="00C022B7">
                            <w:pPr>
                              <w:rPr>
                                <w:rFonts w:ascii="Arial" w:hAnsi="Arial" w:cs="Arial"/>
                                <w:b/>
                                <w:color w:val="FFFFFF" w:themeColor="background1"/>
                                <w:sz w:val="2"/>
                                <w:szCs w:val="22"/>
                                <w:u w:val="single"/>
                              </w:rPr>
                            </w:pPr>
                          </w:p>
                          <w:p w:rsidR="00C022B7" w:rsidRPr="00B12416" w:rsidRDefault="00340455" w:rsidP="00B12416">
                            <w:pPr>
                              <w:jc w:val="center"/>
                              <w:rPr>
                                <w:b/>
                                <w:color w:val="FFFFFF" w:themeColor="background1"/>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12416">
                              <w:rPr>
                                <w:b/>
                                <w:color w:val="FFFFFF" w:themeColor="background1"/>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TALKING PARTNERS@Secondary</w:t>
                            </w:r>
                          </w:p>
                          <w:p w:rsidR="00340455" w:rsidRPr="00B12416" w:rsidRDefault="00E27373" w:rsidP="00340455">
                            <w:pPr>
                              <w:jc w:val="center"/>
                              <w:rPr>
                                <w:color w:val="FFFFFF" w:themeColor="background1"/>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color w:val="FFFFFF" w:themeColor="background1"/>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00340455" w:rsidRPr="00B12416">
                              <w:rPr>
                                <w:color w:val="FFFFFF" w:themeColor="background1"/>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day training course</w:t>
                            </w:r>
                          </w:p>
                          <w:p w:rsidR="00B12416" w:rsidRPr="00B12416" w:rsidRDefault="00B12416" w:rsidP="00B12416">
                            <w:pPr>
                              <w:ind w:right="-613"/>
                              <w:rPr>
                                <w:color w:val="FFFFFF" w:themeColor="background1"/>
                                <w:sz w:val="20"/>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2416" w:rsidRPr="00B12416" w:rsidRDefault="00B12416" w:rsidP="00B12416">
                            <w:pPr>
                              <w:ind w:right="-613"/>
                              <w:rPr>
                                <w:color w:val="FFFFFF" w:themeColor="background1"/>
                                <w:sz w:val="2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12416">
                              <w:rPr>
                                <w:color w:val="FFFFFF" w:themeColor="background1"/>
                                <w:sz w:val="2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(Teacher and TA required </w:t>
                            </w:r>
                            <w:proofErr w:type="gramStart"/>
                            <w:r w:rsidRPr="00B12416">
                              <w:rPr>
                                <w:color w:val="FFFFFF" w:themeColor="background1"/>
                                <w:sz w:val="2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run</w:t>
                            </w:r>
                            <w:proofErr w:type="gramEnd"/>
                            <w:r w:rsidRPr="00B12416">
                              <w:rPr>
                                <w:color w:val="FFFFFF" w:themeColor="background1"/>
                                <w:sz w:val="2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programmes successfully) </w:t>
                            </w:r>
                          </w:p>
                          <w:p w:rsidR="00B12416" w:rsidRPr="00B12416" w:rsidRDefault="00B12416" w:rsidP="00B12416">
                            <w:pPr>
                              <w:rPr>
                                <w:b/>
                                <w:color w:val="FFFFFF" w:themeColor="background1"/>
                                <w:sz w:val="2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2416" w:rsidRPr="00C15E40" w:rsidRDefault="00B12416" w:rsidP="00B12416">
                            <w:pPr>
                              <w:rPr>
                                <w:b/>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15E40">
                              <w:rPr>
                                <w:b/>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Total Cost: £125 per person this includes:</w:t>
                            </w:r>
                          </w:p>
                          <w:p w:rsidR="00B12416" w:rsidRPr="00C15E40" w:rsidRDefault="00B12416" w:rsidP="00B12416">
                            <w:pPr>
                              <w:pStyle w:val="ListParagraph"/>
                              <w:numPr>
                                <w:ilvl w:val="0"/>
                                <w:numId w:val="5"/>
                              </w:numPr>
                              <w:spacing w:after="0" w:line="240" w:lineRule="auto"/>
                              <w:rPr>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15E40">
                              <w:rPr>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1.5 days training delivered by accredited Talking Partners (TP) trainers </w:t>
                            </w:r>
                          </w:p>
                          <w:p w:rsidR="00B12416" w:rsidRPr="00C15E40" w:rsidRDefault="00B12416" w:rsidP="00B12416">
                            <w:pPr>
                              <w:pStyle w:val="ListParagraph"/>
                              <w:numPr>
                                <w:ilvl w:val="0"/>
                                <w:numId w:val="5"/>
                              </w:numPr>
                              <w:spacing w:after="0" w:line="240" w:lineRule="auto"/>
                              <w:rPr>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15E40">
                              <w:rPr>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TP resource pack, frameworks, assessment toolkit and training manual ( the value of £75 already included in the total)</w:t>
                            </w:r>
                          </w:p>
                          <w:p w:rsidR="00B12416" w:rsidRPr="00B12416" w:rsidRDefault="00B12416" w:rsidP="00B12416">
                            <w:pPr>
                              <w:pStyle w:val="ListParagraph"/>
                              <w:spacing w:after="0" w:line="240" w:lineRule="auto"/>
                              <w:rPr>
                                <w:b/>
                                <w:color w:val="FFFFFF" w:themeColor="background1"/>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2416" w:rsidRPr="00B12416" w:rsidRDefault="00B12416" w:rsidP="00B12416">
                            <w:pPr>
                              <w:rPr>
                                <w:b/>
                                <w:color w:val="FFFFFF" w:themeColor="background1"/>
                                <w:sz w:val="22"/>
                              </w:rPr>
                            </w:pPr>
                          </w:p>
                          <w:p w:rsidR="00B12416" w:rsidRPr="00B12416" w:rsidRDefault="00B12416" w:rsidP="00B12416">
                            <w:pPr>
                              <w:jc w:val="center"/>
                              <w:rPr>
                                <w:rFonts w:ascii="Arial" w:hAnsi="Arial" w:cs="Arial"/>
                                <w:b/>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3.45pt;margin-top:55.7pt;width:519.6pt;height:2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" filled="f" stroked="f">
                <v:textbox>
                  <w:txbxContent>
                    <w:p w:rsidR="00C022B7" w:rsidRPr="00B12416" w:rsidRDefault="00C022B7">
                      <w:pPr>
                        <w:rPr>
                          <w:rFonts w:ascii="Arial" w:hAnsi="Arial" w:cs="Arial"/>
                          <w:b/>
                          <w:color w:val="FFFFFF" w:themeColor="background1"/>
                          <w:sz w:val="2"/>
                          <w:szCs w:val="22"/>
                          <w:u w:val="single"/>
                        </w:rPr>
                      </w:pPr>
                    </w:p>
                    <w:p w:rsidR="00C022B7" w:rsidRPr="00B12416" w:rsidRDefault="00340455" w:rsidP="00B12416">
                      <w:pPr>
                        <w:jc w:val="center"/>
                        <w:rPr>
                          <w:b/>
                          <w:color w:val="FFFFFF" w:themeColor="background1"/>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12416">
                        <w:rPr>
                          <w:b/>
                          <w:color w:val="FFFFFF" w:themeColor="background1"/>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TALKING PARTNERS@Secondary</w:t>
                      </w:r>
                    </w:p>
                    <w:p w:rsidR="00340455" w:rsidRPr="00B12416" w:rsidRDefault="00E27373" w:rsidP="00340455">
                      <w:pPr>
                        <w:jc w:val="center"/>
                        <w:rPr>
                          <w:color w:val="FFFFFF" w:themeColor="background1"/>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color w:val="FFFFFF" w:themeColor="background1"/>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00340455" w:rsidRPr="00B12416">
                        <w:rPr>
                          <w:color w:val="FFFFFF" w:themeColor="background1"/>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day training course</w:t>
                      </w:r>
                    </w:p>
                    <w:p w:rsidR="00B12416" w:rsidRPr="00B12416" w:rsidRDefault="00B12416" w:rsidP="00B12416">
                      <w:pPr>
                        <w:ind w:right="-613"/>
                        <w:rPr>
                          <w:color w:val="FFFFFF" w:themeColor="background1"/>
                          <w:sz w:val="20"/>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2416" w:rsidRPr="00B12416" w:rsidRDefault="00B12416" w:rsidP="00B12416">
                      <w:pPr>
                        <w:ind w:right="-613"/>
                        <w:rPr>
                          <w:color w:val="FFFFFF" w:themeColor="background1"/>
                          <w:sz w:val="2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12416">
                        <w:rPr>
                          <w:color w:val="FFFFFF" w:themeColor="background1"/>
                          <w:sz w:val="2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(Teacher and TA required </w:t>
                      </w:r>
                      <w:proofErr w:type="gramStart"/>
                      <w:r w:rsidRPr="00B12416">
                        <w:rPr>
                          <w:color w:val="FFFFFF" w:themeColor="background1"/>
                          <w:sz w:val="2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run</w:t>
                      </w:r>
                      <w:proofErr w:type="gramEnd"/>
                      <w:r w:rsidRPr="00B12416">
                        <w:rPr>
                          <w:color w:val="FFFFFF" w:themeColor="background1"/>
                          <w:sz w:val="2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programmes successfully) </w:t>
                      </w:r>
                    </w:p>
                    <w:p w:rsidR="00B12416" w:rsidRPr="00B12416" w:rsidRDefault="00B12416" w:rsidP="00B12416">
                      <w:pPr>
                        <w:rPr>
                          <w:b/>
                          <w:color w:val="FFFFFF" w:themeColor="background1"/>
                          <w:sz w:val="2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2416" w:rsidRPr="00C15E40" w:rsidRDefault="00B12416" w:rsidP="00B12416">
                      <w:pPr>
                        <w:rPr>
                          <w:b/>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15E40">
                        <w:rPr>
                          <w:b/>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Total Cost: £125 per person this includes:</w:t>
                      </w:r>
                    </w:p>
                    <w:p w:rsidR="00B12416" w:rsidRPr="00C15E40" w:rsidRDefault="00B12416" w:rsidP="00B12416">
                      <w:pPr>
                        <w:pStyle w:val="ListParagraph"/>
                        <w:numPr>
                          <w:ilvl w:val="0"/>
                          <w:numId w:val="5"/>
                        </w:numPr>
                        <w:spacing w:after="0" w:line="240" w:lineRule="auto"/>
                        <w:rPr>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15E40">
                        <w:rPr>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1.5 days training delivered by accredited Talking Partners (TP) trainers </w:t>
                      </w:r>
                    </w:p>
                    <w:p w:rsidR="00B12416" w:rsidRPr="00C15E40" w:rsidRDefault="00B12416" w:rsidP="00B12416">
                      <w:pPr>
                        <w:pStyle w:val="ListParagraph"/>
                        <w:numPr>
                          <w:ilvl w:val="0"/>
                          <w:numId w:val="5"/>
                        </w:numPr>
                        <w:spacing w:after="0" w:line="240" w:lineRule="auto"/>
                        <w:rPr>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15E40">
                        <w:rPr>
                          <w:color w:val="FFFFFF" w:themeColor="background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TP resource pack, frameworks, assessment toolkit and training manual ( the value of £75 already included in the total)</w:t>
                      </w:r>
                    </w:p>
                    <w:p w:rsidR="00B12416" w:rsidRPr="00B12416" w:rsidRDefault="00B12416" w:rsidP="00B12416">
                      <w:pPr>
                        <w:pStyle w:val="ListParagraph"/>
                        <w:spacing w:after="0" w:line="240" w:lineRule="auto"/>
                        <w:rPr>
                          <w:b/>
                          <w:color w:val="FFFFFF" w:themeColor="background1"/>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2416" w:rsidRPr="00B12416" w:rsidRDefault="00B12416" w:rsidP="00B12416">
                      <w:pPr>
                        <w:rPr>
                          <w:b/>
                          <w:color w:val="FFFFFF" w:themeColor="background1"/>
                          <w:sz w:val="22"/>
                        </w:rPr>
                      </w:pPr>
                    </w:p>
                    <w:p w:rsidR="00B12416" w:rsidRPr="00B12416" w:rsidRDefault="00B12416" w:rsidP="00B12416">
                      <w:pPr>
                        <w:jc w:val="center"/>
                        <w:rPr>
                          <w:rFonts w:ascii="Arial" w:hAnsi="Arial" w:cs="Arial"/>
                          <w:b/>
                          <w:color w:val="FFFFFF" w:themeColor="background1"/>
                          <w:sz w:val="22"/>
                          <w:szCs w:val="22"/>
                        </w:rPr>
                      </w:pPr>
                    </w:p>
                  </w:txbxContent>
                </v:textbox>
              </v:shape>
            </w:pict>
          </mc:Fallback>
        </mc:AlternateContent>
      </w:r>
      <w:r w:rsidR="00E66C9E">
        <w:rPr>
          <w:noProof/>
          <w:lang w:eastAsia="en-GB"/>
        </w:rPr>
        <mc:AlternateContent>
          <mc:Choice Requires="wps">
            <w:drawing>
              <wp:anchor distT="0" distB="0" distL="114300" distR="114300" simplePos="0" relativeHeight="251661312" behindDoc="1" locked="0" layoutInCell="1" allowOverlap="1" wp14:anchorId="045E6642" wp14:editId="317FBD8E">
                <wp:simplePos x="0" y="0"/>
                <wp:positionH relativeFrom="column">
                  <wp:posOffset>336430</wp:posOffset>
                </wp:positionH>
                <wp:positionV relativeFrom="paragraph">
                  <wp:posOffset>1086928</wp:posOffset>
                </wp:positionV>
                <wp:extent cx="6668159" cy="1403985"/>
                <wp:effectExtent l="0" t="0" r="18415" b="24130"/>
                <wp:wrapThrough wrapText="bothSides">
                  <wp:wrapPolygon edited="0">
                    <wp:start x="0" y="0"/>
                    <wp:lineTo x="0" y="21667"/>
                    <wp:lineTo x="21598" y="21667"/>
                    <wp:lineTo x="21598"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59" cy="1403985"/>
                        </a:xfrm>
                        <a:prstGeom prst="rect">
                          <a:avLst/>
                        </a:prstGeom>
                        <a:solidFill>
                          <a:srgbClr val="FFFFFF"/>
                        </a:solidFill>
                        <a:ln w="9525">
                          <a:solidFill>
                            <a:srgbClr val="000000"/>
                          </a:solidFill>
                          <a:miter lim="800000"/>
                          <a:headEnd/>
                          <a:tailEnd/>
                        </a:ln>
                      </wps:spPr>
                      <wps:txbx>
                        <w:txbxContent>
                          <w:p w:rsidR="00E66C9E" w:rsidRPr="00CE5B04" w:rsidRDefault="00E66C9E" w:rsidP="00E66C9E">
                            <w:pPr>
                              <w:shd w:val="clear" w:color="auto" w:fill="FFFFFF" w:themeFill="background1"/>
                              <w:jc w:val="center"/>
                              <w:rPr>
                                <w:rFonts w:ascii="Arial" w:hAnsi="Arial" w:cs="Arial"/>
                                <w:color w:val="000000" w:themeColor="text1"/>
                                <w:sz w:val="32"/>
                                <w:szCs w:val="36"/>
                              </w:rPr>
                            </w:pPr>
                            <w:r w:rsidRPr="00CE5B04">
                              <w:rPr>
                                <w:rFonts w:ascii="Arial" w:hAnsi="Arial" w:cs="Arial"/>
                                <w:color w:val="000000" w:themeColor="text1"/>
                                <w:sz w:val="32"/>
                                <w:szCs w:val="36"/>
                              </w:rPr>
                              <w:t>Develop capacity to meet the needs of Pupils on the Autism Spectrum by signing up for…</w:t>
                            </w:r>
                          </w:p>
                          <w:p w:rsidR="00E66C9E" w:rsidRPr="00CE5B04" w:rsidRDefault="00E66C9E" w:rsidP="00E66C9E">
                            <w:pPr>
                              <w:shd w:val="clear" w:color="auto" w:fill="FFFFFF" w:themeFill="background1"/>
                              <w:jc w:val="center"/>
                              <w:rPr>
                                <w:rFonts w:ascii="Arial" w:hAnsi="Arial" w:cs="Arial"/>
                                <w:color w:val="000000" w:themeColor="text1"/>
                                <w:szCs w:val="36"/>
                              </w:rPr>
                            </w:pPr>
                          </w:p>
                          <w:p w:rsidR="00E66C9E" w:rsidRPr="00CE5B04" w:rsidRDefault="00E66C9E" w:rsidP="00E66C9E">
                            <w:pPr>
                              <w:shd w:val="clear" w:color="auto" w:fill="FFFFFF" w:themeFill="background1"/>
                              <w:jc w:val="center"/>
                              <w:rPr>
                                <w:rFonts w:ascii="Arial" w:eastAsia="Times New Roman" w:hAnsi="Arial" w:cs="Arial"/>
                                <w:b/>
                                <w:noProof/>
                                <w:color w:val="000000" w:themeColor="text1"/>
                                <w:sz w:val="44"/>
                                <w:szCs w:val="56"/>
                                <w:lang w:eastAsia="en-GB"/>
                              </w:rPr>
                            </w:pPr>
                            <w:r w:rsidRPr="00CE5B04">
                              <w:rPr>
                                <w:rFonts w:ascii="Arial" w:eastAsia="Times New Roman" w:hAnsi="Arial" w:cs="Arial"/>
                                <w:b/>
                                <w:noProof/>
                                <w:color w:val="000000" w:themeColor="text1"/>
                                <w:sz w:val="44"/>
                                <w:szCs w:val="56"/>
                                <w:lang w:eastAsia="en-GB"/>
                              </w:rPr>
                              <w:t>Autism Education Trust Training</w:t>
                            </w:r>
                          </w:p>
                          <w:p w:rsidR="00E66C9E" w:rsidRPr="00CE5B04" w:rsidRDefault="00E66C9E" w:rsidP="00E66C9E">
                            <w:pPr>
                              <w:shd w:val="clear" w:color="auto" w:fill="FFFFFF" w:themeFill="background1"/>
                              <w:jc w:val="center"/>
                              <w:rPr>
                                <w:rFonts w:cstheme="minorHAnsi"/>
                                <w:color w:val="000000" w:themeColor="text1"/>
                                <w:sz w:val="8"/>
                                <w:szCs w:val="22"/>
                              </w:rPr>
                            </w:pPr>
                          </w:p>
                          <w:p w:rsidR="00E66C9E" w:rsidRPr="00CE5B04" w:rsidRDefault="00E66C9E" w:rsidP="00E66C9E">
                            <w:pPr>
                              <w:shd w:val="clear" w:color="auto" w:fill="FFFFFF" w:themeFill="background1"/>
                              <w:jc w:val="center"/>
                              <w:rPr>
                                <w:rFonts w:ascii="Arial" w:hAnsi="Arial" w:cs="Arial"/>
                                <w:color w:val="000000" w:themeColor="text1"/>
                                <w:sz w:val="22"/>
                                <w:szCs w:val="22"/>
                              </w:rPr>
                            </w:pPr>
                            <w:r w:rsidRPr="00CE5B04">
                              <w:rPr>
                                <w:rFonts w:ascii="Arial" w:hAnsi="Arial" w:cs="Arial"/>
                                <w:color w:val="000000" w:themeColor="text1"/>
                                <w:sz w:val="22"/>
                                <w:szCs w:val="22"/>
                              </w:rPr>
                              <w:t>We offer a nationally acclaimed, face to face, personalised, multi-tier training programme, supported and quality assured by the Department for Education</w:t>
                            </w:r>
                          </w:p>
                          <w:p w:rsidR="00E66C9E" w:rsidRDefault="00E66C9E" w:rsidP="00E66C9E">
                            <w:pPr>
                              <w:shd w:val="clear" w:color="auto" w:fill="FFFFFF" w:themeFill="background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6.5pt;margin-top:85.6pt;width:525.0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">
                <v:textbox style="mso-fit-shape-to-text:t">
                  <w:txbxContent>
                    <w:p w:rsidR="00E66C9E" w:rsidRPr="00CE5B04" w:rsidRDefault="00E66C9E" w:rsidP="00E66C9E">
                      <w:pPr>
                        <w:shd w:val="clear" w:color="auto" w:fill="FFFFFF" w:themeFill="background1"/>
                        <w:jc w:val="center"/>
                        <w:rPr>
                          <w:rFonts w:ascii="Arial" w:hAnsi="Arial" w:cs="Arial"/>
                          <w:color w:val="000000" w:themeColor="text1"/>
                          <w:sz w:val="32"/>
                          <w:szCs w:val="36"/>
                        </w:rPr>
                      </w:pPr>
                      <w:r w:rsidRPr="00CE5B04">
                        <w:rPr>
                          <w:rFonts w:ascii="Arial" w:hAnsi="Arial" w:cs="Arial"/>
                          <w:color w:val="000000" w:themeColor="text1"/>
                          <w:sz w:val="32"/>
                          <w:szCs w:val="36"/>
                        </w:rPr>
                        <w:t>Develop capacity to meet the needs of Pupils on the Autism Spectrum by signing up for…</w:t>
                      </w:r>
                    </w:p>
                    <w:p w:rsidR="00E66C9E" w:rsidRPr="00CE5B04" w:rsidRDefault="00E66C9E" w:rsidP="00E66C9E">
                      <w:pPr>
                        <w:shd w:val="clear" w:color="auto" w:fill="FFFFFF" w:themeFill="background1"/>
                        <w:jc w:val="center"/>
                        <w:rPr>
                          <w:rFonts w:ascii="Arial" w:hAnsi="Arial" w:cs="Arial"/>
                          <w:color w:val="000000" w:themeColor="text1"/>
                          <w:szCs w:val="36"/>
                        </w:rPr>
                      </w:pPr>
                    </w:p>
                    <w:p w:rsidR="00E66C9E" w:rsidRPr="00CE5B04" w:rsidRDefault="00E66C9E" w:rsidP="00E66C9E">
                      <w:pPr>
                        <w:shd w:val="clear" w:color="auto" w:fill="FFFFFF" w:themeFill="background1"/>
                        <w:jc w:val="center"/>
                        <w:rPr>
                          <w:rFonts w:ascii="Arial" w:eastAsia="Times New Roman" w:hAnsi="Arial" w:cs="Arial"/>
                          <w:b/>
                          <w:noProof/>
                          <w:color w:val="000000" w:themeColor="text1"/>
                          <w:sz w:val="44"/>
                          <w:szCs w:val="56"/>
                          <w:lang w:eastAsia="en-GB"/>
                        </w:rPr>
                      </w:pPr>
                      <w:r w:rsidRPr="00CE5B04">
                        <w:rPr>
                          <w:rFonts w:ascii="Arial" w:eastAsia="Times New Roman" w:hAnsi="Arial" w:cs="Arial"/>
                          <w:b/>
                          <w:noProof/>
                          <w:color w:val="000000" w:themeColor="text1"/>
                          <w:sz w:val="44"/>
                          <w:szCs w:val="56"/>
                          <w:lang w:eastAsia="en-GB"/>
                        </w:rPr>
                        <w:t>Autism Education Trust Training</w:t>
                      </w:r>
                    </w:p>
                    <w:p w:rsidR="00E66C9E" w:rsidRPr="00CE5B04" w:rsidRDefault="00E66C9E" w:rsidP="00E66C9E">
                      <w:pPr>
                        <w:shd w:val="clear" w:color="auto" w:fill="FFFFFF" w:themeFill="background1"/>
                        <w:jc w:val="center"/>
                        <w:rPr>
                          <w:rFonts w:cstheme="minorHAnsi"/>
                          <w:color w:val="000000" w:themeColor="text1"/>
                          <w:sz w:val="8"/>
                          <w:szCs w:val="22"/>
                        </w:rPr>
                      </w:pPr>
                    </w:p>
                    <w:p w:rsidR="00E66C9E" w:rsidRPr="00CE5B04" w:rsidRDefault="00E66C9E" w:rsidP="00E66C9E">
                      <w:pPr>
                        <w:shd w:val="clear" w:color="auto" w:fill="FFFFFF" w:themeFill="background1"/>
                        <w:jc w:val="center"/>
                        <w:rPr>
                          <w:rFonts w:ascii="Arial" w:hAnsi="Arial" w:cs="Arial"/>
                          <w:color w:val="000000" w:themeColor="text1"/>
                          <w:sz w:val="22"/>
                          <w:szCs w:val="22"/>
                        </w:rPr>
                      </w:pPr>
                      <w:r w:rsidRPr="00CE5B04">
                        <w:rPr>
                          <w:rFonts w:ascii="Arial" w:hAnsi="Arial" w:cs="Arial"/>
                          <w:color w:val="000000" w:themeColor="text1"/>
                          <w:sz w:val="22"/>
                          <w:szCs w:val="22"/>
                        </w:rPr>
                        <w:t>We offer a nationally acclaimed, face to face, personalised, multi-tier training programme, supported and quality assured by the Department for Education</w:t>
                      </w:r>
                    </w:p>
                    <w:p w:rsidR="00E66C9E" w:rsidRDefault="00E66C9E" w:rsidP="00E66C9E">
                      <w:pPr>
                        <w:shd w:val="clear" w:color="auto" w:fill="FFFFFF" w:themeFill="background1"/>
                      </w:pPr>
                    </w:p>
                  </w:txbxContent>
                </v:textbox>
                <w10:wrap type="through"/>
              </v:shape>
            </w:pict>
          </mc:Fallback>
        </mc:AlternateContent>
      </w:r>
      <w:bookmarkStart w:id="0" w:name="_GoBack"/>
      <w:r w:rsidR="00F957B8">
        <w:rPr>
          <w:noProof/>
          <w:lang w:eastAsia="en-GB"/>
        </w:rPr>
        <w:drawing>
          <wp:inline distT="0" distB="0" distL="0" distR="0" wp14:anchorId="1E458901" wp14:editId="1A18660F">
            <wp:extent cx="7595235" cy="10737742"/>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d and inclusion.png"/>
                    <pic:cNvPicPr/>
                  </pic:nvPicPr>
                  <pic:blipFill>
                    <a:blip r:embed="rId6">
                      <a:extLst>
                        <a:ext uri="{28A0092B-C50C-407E-A947-70E740481C1C}">
                          <a14:useLocalDpi xmlns:a14="http://schemas.microsoft.com/office/drawing/2010/main" val="0"/>
                        </a:ext>
                      </a:extLst>
                    </a:blip>
                    <a:stretch>
                      <a:fillRect/>
                    </a:stretch>
                  </pic:blipFill>
                  <pic:spPr>
                    <a:xfrm>
                      <a:off x="0" y="0"/>
                      <a:ext cx="7616867" cy="10768325"/>
                    </a:xfrm>
                    <a:prstGeom prst="rect">
                      <a:avLst/>
                    </a:prstGeom>
                  </pic:spPr>
                </pic:pic>
              </a:graphicData>
            </a:graphic>
          </wp:inline>
        </w:drawing>
      </w:r>
      <w:bookmarkEnd w:id="0"/>
    </w:p>
    <w:sectPr w:rsidR="00BC2474" w:rsidSect="00F957B8">
      <w:pgSz w:w="11900" w:h="16840"/>
      <w:pgMar w:top="0" w:right="144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301"/>
      </v:shape>
    </w:pict>
  </w:numPicBullet>
  <w:abstractNum w:abstractNumId="0">
    <w:nsid w:val="07C00F27"/>
    <w:multiLevelType w:val="hybridMultilevel"/>
    <w:tmpl w:val="328A4C32"/>
    <w:lvl w:ilvl="0" w:tplc="3AF4FD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C195A5A"/>
    <w:multiLevelType w:val="hybridMultilevel"/>
    <w:tmpl w:val="14927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3CE72DB"/>
    <w:multiLevelType w:val="hybridMultilevel"/>
    <w:tmpl w:val="328A4C32"/>
    <w:lvl w:ilvl="0" w:tplc="3AF4FD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C063837"/>
    <w:multiLevelType w:val="hybridMultilevel"/>
    <w:tmpl w:val="A9CA539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0A53C5"/>
    <w:multiLevelType w:val="hybridMultilevel"/>
    <w:tmpl w:val="DD2C6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5318AD"/>
    <w:multiLevelType w:val="hybridMultilevel"/>
    <w:tmpl w:val="AB62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B8"/>
    <w:rsid w:val="000A2909"/>
    <w:rsid w:val="00340455"/>
    <w:rsid w:val="00597F4E"/>
    <w:rsid w:val="00851BDC"/>
    <w:rsid w:val="00946FF7"/>
    <w:rsid w:val="00B12416"/>
    <w:rsid w:val="00B71417"/>
    <w:rsid w:val="00C022B7"/>
    <w:rsid w:val="00C15E40"/>
    <w:rsid w:val="00D56157"/>
    <w:rsid w:val="00E27373"/>
    <w:rsid w:val="00E479AC"/>
    <w:rsid w:val="00E66C9E"/>
    <w:rsid w:val="00F9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F68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C9E"/>
    <w:rPr>
      <w:rFonts w:ascii="Tahoma" w:hAnsi="Tahoma" w:cs="Tahoma"/>
      <w:sz w:val="16"/>
      <w:szCs w:val="16"/>
    </w:rPr>
  </w:style>
  <w:style w:type="character" w:customStyle="1" w:styleId="BalloonTextChar">
    <w:name w:val="Balloon Text Char"/>
    <w:basedOn w:val="DefaultParagraphFont"/>
    <w:link w:val="BalloonText"/>
    <w:uiPriority w:val="99"/>
    <w:semiHidden/>
    <w:rsid w:val="00E66C9E"/>
    <w:rPr>
      <w:rFonts w:ascii="Tahoma" w:hAnsi="Tahoma" w:cs="Tahoma"/>
      <w:sz w:val="16"/>
      <w:szCs w:val="16"/>
    </w:rPr>
  </w:style>
  <w:style w:type="paragraph" w:styleId="ListParagraph">
    <w:name w:val="List Paragraph"/>
    <w:basedOn w:val="Normal"/>
    <w:uiPriority w:val="34"/>
    <w:qFormat/>
    <w:rsid w:val="00C022B7"/>
    <w:pPr>
      <w:spacing w:after="160" w:line="259" w:lineRule="auto"/>
      <w:ind w:left="720"/>
      <w:contextualSpacing/>
    </w:pPr>
    <w:rPr>
      <w:sz w:val="22"/>
      <w:szCs w:val="22"/>
    </w:rPr>
  </w:style>
  <w:style w:type="character" w:styleId="Hyperlink">
    <w:name w:val="Hyperlink"/>
    <w:basedOn w:val="DefaultParagraphFont"/>
    <w:uiPriority w:val="99"/>
    <w:unhideWhenUsed/>
    <w:rsid w:val="00C022B7"/>
    <w:rPr>
      <w:color w:val="0563C1" w:themeColor="hyperlink"/>
      <w:u w:val="single"/>
    </w:rPr>
  </w:style>
  <w:style w:type="character" w:styleId="FollowedHyperlink">
    <w:name w:val="FollowedHyperlink"/>
    <w:basedOn w:val="DefaultParagraphFont"/>
    <w:uiPriority w:val="99"/>
    <w:semiHidden/>
    <w:unhideWhenUsed/>
    <w:rsid w:val="00D5615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C9E"/>
    <w:rPr>
      <w:rFonts w:ascii="Tahoma" w:hAnsi="Tahoma" w:cs="Tahoma"/>
      <w:sz w:val="16"/>
      <w:szCs w:val="16"/>
    </w:rPr>
  </w:style>
  <w:style w:type="character" w:customStyle="1" w:styleId="BalloonTextChar">
    <w:name w:val="Balloon Text Char"/>
    <w:basedOn w:val="DefaultParagraphFont"/>
    <w:link w:val="BalloonText"/>
    <w:uiPriority w:val="99"/>
    <w:semiHidden/>
    <w:rsid w:val="00E66C9E"/>
    <w:rPr>
      <w:rFonts w:ascii="Tahoma" w:hAnsi="Tahoma" w:cs="Tahoma"/>
      <w:sz w:val="16"/>
      <w:szCs w:val="16"/>
    </w:rPr>
  </w:style>
  <w:style w:type="paragraph" w:styleId="ListParagraph">
    <w:name w:val="List Paragraph"/>
    <w:basedOn w:val="Normal"/>
    <w:uiPriority w:val="34"/>
    <w:qFormat/>
    <w:rsid w:val="00C022B7"/>
    <w:pPr>
      <w:spacing w:after="160" w:line="259" w:lineRule="auto"/>
      <w:ind w:left="720"/>
      <w:contextualSpacing/>
    </w:pPr>
    <w:rPr>
      <w:sz w:val="22"/>
      <w:szCs w:val="22"/>
    </w:rPr>
  </w:style>
  <w:style w:type="character" w:styleId="Hyperlink">
    <w:name w:val="Hyperlink"/>
    <w:basedOn w:val="DefaultParagraphFont"/>
    <w:uiPriority w:val="99"/>
    <w:unhideWhenUsed/>
    <w:rsid w:val="00C022B7"/>
    <w:rPr>
      <w:color w:val="0563C1" w:themeColor="hyperlink"/>
      <w:u w:val="single"/>
    </w:rPr>
  </w:style>
  <w:style w:type="character" w:styleId="FollowedHyperlink">
    <w:name w:val="FollowedHyperlink"/>
    <w:basedOn w:val="DefaultParagraphFont"/>
    <w:uiPriority w:val="99"/>
    <w:semiHidden/>
    <w:unhideWhenUsed/>
    <w:rsid w:val="00D561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Jackson</dc:creator>
  <cp:lastModifiedBy>Nikki Ajibade</cp:lastModifiedBy>
  <cp:revision>2</cp:revision>
  <dcterms:created xsi:type="dcterms:W3CDTF">2019-09-22T19:32:00Z</dcterms:created>
  <dcterms:modified xsi:type="dcterms:W3CDTF">2019-09-22T19:32:00Z</dcterms:modified>
</cp:coreProperties>
</file>